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2023年10月15日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22我們不至消滅、是出於耶和華諸般的慈愛、是因他的憐憫、不至斷絕。23每早晨這都是新的．你的誠實、極其廣大。24我心裏說、耶和華是我的分．因此、我要仰望他。25凡等候耶和華、心裏尋求他的、耶和華必施恩給他。26人仰望耶和華、靜默等候他的救恩、這原是好的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耶 利 米 哀 歌 3:22-26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HOL#73       主愛深長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HOL#387       主是我萬有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HOL#273       我靈鎮靜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馬 太 福 音 7:1-5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论断的圈套和其唯一的出路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HOL#18       祢的信實廣大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论断的圈套和其唯一的出路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馬 太 福 音 7:1-5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其圈套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其后果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其出路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下一次受洗典禮將於11月19日主日舉行。如果您决定接受洗禮，請與牧師或執事會成員聯繫。報名今天截止。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我們教會今年將於 10 月 31 日下午 6 點至 8 點在母堂再次舉辦秋歡節。 歡迎所有的孩子和朋友參加，有遊戲、獎品和糖果！ 如果您可以提供點心，或者捐贈全新或半新的玩具，請聯繫 Grace Chen 或 Lawrence Tai。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我們將於11月18日星期六在本堂慶祝建堂40週年，慶典於下午5:30開始。希望大家都能來記念神的信實 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為迎接11月18日的40週年慶典，今天下午1:30開始有3場排練：成人詩班（301室）、兒童詩班（崇拜廳）、手鈴詩班（307室）。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每主日的英語查經禱告（探索查經）今天晚上7:30-8:45重新開始，主題為“培訓工人”，為期9週。如有問題請聯繫Lily Lee或Aileen Chow。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崇拜講員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10月22日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英文崇拜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Ethan Helm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中文崇拜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鄧牧師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西區崇拜</w:t>
      </w:r>
      <w:r>
        <w:rPr>
          <w:rFonts w:ascii="SimSun" w:hAnsi="SimSun" w:cs="新細明體"/>
          <w:lang w:eastAsia="zh-CN"/>
        </w:rPr>
        <w:tab/>
      </w:r>
      <w:r>
        <w:rPr>
          <w:rFonts w:ascii="SimSun" w:hAnsi="SimSun" w:cs="新細明體"/>
          <w:lang w:eastAsia="zh-CN"/>
        </w:rPr>
        <w:t>陳定立傳道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